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Bold" w:hAnsi="Arial Bold" w:eastAsia="Arial Bold" w:cs="Arial Bold"/>
          <w:color w:val="1A5EAF"/>
          <w:sz w:val="24"/>
          <w:szCs w:val="24"/>
          <w:lang w:val="en-GB" w:eastAsia="en-GB" w:bidi="en-GB"/>
        </w:rPr>
      </w:pPr>
      <w:r>
        <w:rPr>
          <w:lang w:val="en-GB" w:eastAsia="en-GB" w:bidi="en-GB"/>
        </w:rPr>
        <w:drawing>
          <wp:inline distT="0" distB="0" distL="0" distR="0">
            <wp:extent cx="2657475" cy="917575"/>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57475" cy="917575"/>
                    </a:xfrm>
                    <a:prstGeom prst="rect">
                      <a:avLst/>
                    </a:prstGeom>
                  </pic:spPr>
                </pic:pic>
              </a:graphicData>
            </a:graphic>
          </wp:inline>
        </w:drawing>
      </w: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Bold" w:hAnsi="Arial Bold" w:eastAsia="Arial Bold" w:cs="Arial Bold"/>
          <w:color w:val="1A7BC0"/>
          <w:sz w:val="32"/>
          <w:szCs w:val="32"/>
          <w:lang w:val="en-GB" w:eastAsia="en-GB" w:bidi="en-GB"/>
        </w:rPr>
      </w:pP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Bold" w:hAnsi="Arial Bold" w:eastAsia="Arial Bold" w:cs="Arial Bold"/>
          <w:b/>
          <w:bCs/>
          <w:color w:val="0086CB"/>
          <w:sz w:val="28"/>
          <w:szCs w:val="28"/>
          <w:lang w:val="en-US" w:eastAsia="en-US" w:bidi="en-US"/>
        </w:rPr>
      </w:pPr>
      <w:r>
        <w:rPr>
          <w:rFonts w:ascii="Arial Bold" w:hAnsi="Arial Bold" w:eastAsia="Arial Bold" w:cs="Arial Bold"/>
          <w:b/>
          <w:bCs/>
          <w:color w:val="0086CB"/>
          <w:sz w:val="28"/>
          <w:szCs w:val="28"/>
          <w:lang w:val="en-US" w:eastAsia="en-US" w:bidi="en-US"/>
        </w:rPr>
        <w:t xml:space="preserve">Inclusion and Diversity Advisory Group – Independent Member</w:t>
      </w: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4"/>
          <w:szCs w:val="24"/>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color w:val="1A7BC0"/>
          <w:lang w:val="en-GB" w:eastAsia="en-GB" w:bidi="en-GB"/>
        </w:rPr>
      </w:pPr>
      <w:r>
        <w:rPr>
          <w:color w:val="1A7BC0"/>
          <w:lang w:val="en-GB" w:eastAsia="en-GB" w:bidi="en-GB"/>
        </w:rPr>
        <w:t xml:space="preserve">About the role</w:t>
      </w:r>
    </w:p>
    <w:p>
      <w:pPr>
        <w:pStyle w:val="Normal"/>
        <w:widowControl w:val="off"/>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2"/>
        <w:jc w:val="both"/>
        <w:rPr>
          <w:sz w:val="20"/>
          <w:szCs w:val="20"/>
          <w:lang w:val="en-US" w:eastAsia="en-US" w:bidi="en-US"/>
        </w:rPr>
      </w:pPr>
      <w:r>
        <w:rPr>
          <w:sz w:val="20"/>
          <w:szCs w:val="20"/>
          <w:lang w:val="en-US" w:eastAsia="en-US" w:bidi="en-US"/>
        </w:rPr>
        <w:t xml:space="preserve">The establishment of our</w:t>
      </w:r>
      <w:r>
        <w:rPr>
          <w:b/>
          <w:bCs/>
          <w:sz w:val="20"/>
          <w:szCs w:val="20"/>
          <w:lang w:val="en-US" w:eastAsia="en-US" w:bidi="en-US"/>
        </w:rPr>
        <w:t xml:space="preserve"> Inclusion and Diversity Advisory Group </w:t>
      </w:r>
      <w:r>
        <w:rPr>
          <w:sz w:val="20"/>
          <w:szCs w:val="20"/>
          <w:lang w:val="en-US" w:eastAsia="en-US" w:bidi="en-US"/>
        </w:rPr>
        <w:t xml:space="preserve">(IDAG) was central to the LTA’s overarching vision to open up tennis to people of all backgrounds and forms a central part of our Inclusion Strategy.</w:t>
      </w:r>
    </w:p>
    <w:p>
      <w:pPr>
        <w:pStyle w:val="Normal"/>
        <w:widowControl w:val="off"/>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2"/>
        <w:jc w:val="both"/>
        <w:rPr>
          <w:sz w:val="20"/>
          <w:szCs w:val="20"/>
          <w:lang w:val="en-US" w:eastAsia="en-US" w:bidi="en-US"/>
        </w:rPr>
      </w:pPr>
    </w:p>
    <w:p>
      <w:pPr>
        <w:pStyle w:val="Normal"/>
        <w:widowControl w:val="off"/>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2"/>
        <w:jc w:val="both"/>
        <w:rPr>
          <w:sz w:val="20"/>
          <w:szCs w:val="20"/>
          <w:lang w:val="en-US" w:eastAsia="en-US" w:bidi="en-US"/>
        </w:rPr>
      </w:pPr>
      <w:r>
        <w:rPr>
          <w:sz w:val="20"/>
          <w:szCs w:val="20"/>
          <w:lang w:val="en-US" w:eastAsia="en-US" w:bidi="en-US"/>
        </w:rPr>
        <w:t xml:space="preserve">The IDAG brings together a diverse range of lived experience and significant expertise to provide strategic guidance on the implementation of the Inclusion Strategy, and to offer an external perspective on best practice and areas where we, the LTA, can be more inclusive. The group works closely with our colleagues and the independent Inclusion, Diversity, Equality and Accessibility (IDEA) working group. The IDEA group, which was set up in February 2021 and which informed the development of the Strategy, continue to provide ideas, suggestions and an operational level consultation forum, which feeds into the IDAG.</w:t>
      </w:r>
    </w:p>
    <w:p>
      <w:pPr>
        <w:pStyle w:val="Normal"/>
        <w:widowControl w:val="off"/>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2"/>
        <w:jc w:val="both"/>
        <w:rPr>
          <w:sz w:val="20"/>
          <w:szCs w:val="20"/>
          <w:lang w:val="en-US" w:eastAsia="en-US" w:bidi="en-US"/>
        </w:rPr>
      </w:pPr>
    </w:p>
    <w:p>
      <w:pPr>
        <w:pStyle w:val="Normal"/>
        <w:widowControl w:val="off"/>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2"/>
        <w:jc w:val="both"/>
        <w:rPr>
          <w:color w:val="EE0000"/>
          <w:sz w:val="20"/>
          <w:szCs w:val="20"/>
          <w:lang w:val="en-US" w:eastAsia="en-US" w:bidi="en-US"/>
        </w:rPr>
      </w:pPr>
      <w:r>
        <w:rPr>
          <w:color w:val="000000"/>
          <w:sz w:val="20"/>
          <w:szCs w:val="20"/>
          <w:lang w:val="en-US" w:eastAsia="en-US" w:bidi="en-US"/>
        </w:rPr>
        <w:t xml:space="preserve">We now have an opportunity to recruit for a new Independent Member, and we are particularly keen to hear from people with experience in implementing tactics of diversifying a workforce, has an understanding of driving cultural change, is competent in translating quantitative and qualitive data into impactful change and will use this voluntary role as a development opportunity</w:t>
      </w:r>
      <w:r>
        <w:rPr>
          <w:color w:val="EE0000"/>
          <w:sz w:val="20"/>
          <w:szCs w:val="20"/>
          <w:lang w:val="en-US" w:eastAsia="en-US" w:bidi="en-US"/>
        </w:rPr>
        <w:t xml:space="preserve">.</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sz w:val="20"/>
          <w:szCs w:val="20"/>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color w:val="1A7BC0"/>
          <w:lang w:val="en-GB" w:eastAsia="en-GB" w:bidi="en-GB"/>
        </w:rPr>
      </w:pPr>
      <w:r>
        <w:rPr>
          <w:color w:val="1A7BC0"/>
          <w:lang w:val="en-GB" w:eastAsia="en-GB" w:bidi="en-GB"/>
        </w:rPr>
        <w:t xml:space="preserve">Key accountabilities </w:t>
      </w:r>
    </w:p>
    <w:p>
      <w:pPr>
        <w:pStyle w:val="Normal"/>
        <w:widowControl w:val="off"/>
        <w:numPr>
          <w:ilvl w:val="0"/>
          <w:numId w:val="3"/>
        </w:numPr>
        <w:tabs>
          <w:tab w:val="left"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32" w:hanging="360"/>
        <w:jc w:val="both"/>
        <w:rPr>
          <w:sz w:val="20"/>
          <w:szCs w:val="20"/>
          <w:lang w:val="en-US" w:eastAsia="en-US" w:bidi="en-US"/>
        </w:rPr>
      </w:pPr>
      <w:r>
        <w:rPr>
          <w:sz w:val="20"/>
          <w:szCs w:val="20"/>
          <w:lang w:val="en-US" w:eastAsia="en-US" w:bidi="en-US"/>
        </w:rPr>
        <w:t xml:space="preserve">Providing expert guidance as requested by the LTA on the implementation of the inclusion strategy which is designed to support the LTA vision of “Tennis Opened Up”</w:t>
      </w:r>
    </w:p>
    <w:p>
      <w:pPr>
        <w:pStyle w:val="Normal"/>
        <w:widowControl w:val="off"/>
        <w:numPr>
          <w:ilvl w:val="0"/>
          <w:numId w:val="3"/>
        </w:numPr>
        <w:tabs>
          <w:tab w:val="left"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32" w:hanging="360"/>
        <w:jc w:val="both"/>
        <w:rPr>
          <w:sz w:val="20"/>
          <w:szCs w:val="20"/>
          <w:lang w:val="en-US" w:eastAsia="en-US" w:bidi="en-US"/>
        </w:rPr>
      </w:pPr>
      <w:r>
        <w:rPr>
          <w:sz w:val="20"/>
          <w:szCs w:val="20"/>
          <w:lang w:val="en-US" w:eastAsia="en-US" w:bidi="en-US"/>
        </w:rPr>
        <w:t xml:space="preserve">Offering an external perspective on best practice and areas where the LTA might consider strengthening, augmenting or amending the strategy</w:t>
      </w:r>
    </w:p>
    <w:p>
      <w:pPr>
        <w:pStyle w:val="Normal"/>
        <w:widowControl w:val="off"/>
        <w:numPr>
          <w:ilvl w:val="0"/>
          <w:numId w:val="3"/>
        </w:numPr>
        <w:tabs>
          <w:tab w:val="left"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32" w:hanging="360"/>
        <w:jc w:val="both"/>
        <w:rPr>
          <w:sz w:val="20"/>
          <w:szCs w:val="20"/>
          <w:lang w:val="en-US" w:eastAsia="en-US" w:bidi="en-US"/>
        </w:rPr>
      </w:pPr>
      <w:r>
        <w:rPr>
          <w:sz w:val="20"/>
          <w:szCs w:val="20"/>
          <w:lang w:val="en-US" w:eastAsia="en-US" w:bidi="en-US"/>
        </w:rPr>
        <w:t xml:space="preserve">Reviewing compliance with the Sports Governance Code with respect to diversity</w:t>
      </w:r>
    </w:p>
    <w:p>
      <w:pPr>
        <w:pStyle w:val="Normal"/>
        <w:widowControl w:val="off"/>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2"/>
        <w:jc w:val="both"/>
        <w:rPr>
          <w:sz w:val="20"/>
          <w:szCs w:val="20"/>
          <w:lang w:val="en-US" w:eastAsia="en-US" w:bidi="en-US"/>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color w:val="1A7BC0"/>
          <w:lang w:val="en-GB" w:eastAsia="en-GB" w:bidi="en-GB"/>
        </w:rPr>
      </w:pPr>
      <w:r>
        <w:rPr>
          <w:color w:val="1A7BC0"/>
          <w:lang w:val="en-GB" w:eastAsia="en-GB" w:bidi="en-GB"/>
        </w:rPr>
        <w:t xml:space="preserve">Person specification</w:t>
      </w:r>
    </w:p>
    <w:p>
      <w:pPr>
        <w:pStyle w:val="ListParagraph"/>
        <w:numPr>
          <w:ilvl w:val="0"/>
          <w:numId w:val="3"/>
        </w:numPr>
        <w:tabs>
          <w:tab w:val="left"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32" w:hanging="360"/>
        <w:rPr>
          <w:sz w:val="20"/>
          <w:szCs w:val="20"/>
          <w:lang w:val="en-GB" w:eastAsia="en-GB" w:bidi="en-GB"/>
        </w:rPr>
      </w:pPr>
      <w:r>
        <w:rPr>
          <w:sz w:val="20"/>
          <w:szCs w:val="20"/>
          <w:lang w:val="en-GB" w:eastAsia="en-GB" w:bidi="en-GB"/>
        </w:rPr>
        <w:t xml:space="preserve">Has experience supporting or leading on the development and implementation of inclusion, equality and diversity initiatives within organisations, with an understanding of structural and systemic barriers to inclusion.</w:t>
      </w:r>
    </w:p>
    <w:p>
      <w:pPr>
        <w:pStyle w:val="ListParagraph"/>
        <w:numPr>
          <w:ilvl w:val="0"/>
          <w:numId w:val="3"/>
        </w:numPr>
        <w:tabs>
          <w:tab w:val="left"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32" w:hanging="360"/>
        <w:rPr>
          <w:sz w:val="20"/>
          <w:szCs w:val="20"/>
          <w:lang w:val="en-GB" w:eastAsia="en-GB" w:bidi="en-GB"/>
        </w:rPr>
      </w:pPr>
      <w:r>
        <w:rPr>
          <w:sz w:val="20"/>
          <w:szCs w:val="20"/>
          <w:lang w:val="en-GB" w:eastAsia="en-GB" w:bidi="en-GB"/>
        </w:rPr>
        <w:t xml:space="preserve">Demonstrates a strong personal commitment to inclusion, diversity and fairness in day-to-day work and decision-making.</w:t>
      </w:r>
    </w:p>
    <w:p>
      <w:pPr>
        <w:pStyle w:val="ListParagraph"/>
        <w:numPr>
          <w:ilvl w:val="0"/>
          <w:numId w:val="3"/>
        </w:numPr>
        <w:tabs>
          <w:tab w:val="left"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32" w:hanging="360"/>
        <w:rPr>
          <w:sz w:val="20"/>
          <w:szCs w:val="20"/>
          <w:lang w:val="en-GB" w:eastAsia="en-GB" w:bidi="en-GB"/>
        </w:rPr>
      </w:pPr>
      <w:r>
        <w:rPr>
          <w:sz w:val="20"/>
          <w:szCs w:val="20"/>
          <w:lang w:val="en-GB" w:eastAsia="en-GB" w:bidi="en-GB"/>
        </w:rPr>
        <w:t xml:space="preserve">Has experience providing informed advice and guidance to managers and stakeholders, contributing insights and recommendations that support organisational priorities and improvements.</w:t>
      </w:r>
    </w:p>
    <w:p>
      <w:pPr>
        <w:pStyle w:val="ListParagraph"/>
        <w:numPr>
          <w:ilvl w:val="0"/>
          <w:numId w:val="3"/>
        </w:numPr>
        <w:tabs>
          <w:tab w:val="left"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32" w:hanging="360"/>
        <w:rPr>
          <w:sz w:val="20"/>
          <w:szCs w:val="20"/>
          <w:lang w:val="en-GB" w:eastAsia="en-GB" w:bidi="en-GB"/>
        </w:rPr>
      </w:pPr>
      <w:r>
        <w:rPr>
          <w:sz w:val="20"/>
          <w:szCs w:val="20"/>
          <w:lang w:val="en-GB" w:eastAsia="en-GB" w:bidi="en-GB"/>
        </w:rPr>
        <w:t xml:space="preserve">Works collaboratively with colleagues across teams, building positive working relationships to achieve shared outcomes.</w:t>
      </w:r>
    </w:p>
    <w:p>
      <w:pPr>
        <w:pStyle w:val="ListParagraph"/>
        <w:numPr>
          <w:ilvl w:val="0"/>
          <w:numId w:val="3"/>
        </w:numPr>
        <w:tabs>
          <w:tab w:val="left" w:pos="7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32" w:hanging="360"/>
        <w:rPr>
          <w:sz w:val="20"/>
          <w:szCs w:val="20"/>
          <w:lang w:val="en-GB" w:eastAsia="en-GB" w:bidi="en-GB"/>
        </w:rPr>
      </w:pPr>
      <w:r>
        <w:rPr>
          <w:sz w:val="20"/>
          <w:szCs w:val="20"/>
          <w:lang w:val="en-GB" w:eastAsia="en-GB" w:bidi="en-GB"/>
        </w:rPr>
        <w:t xml:space="preserve">Maintains high standards of integrity, professionalism and discretion when handling sensitive information and issues.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sz w:val="20"/>
          <w:szCs w:val="20"/>
          <w:lang w:val="en-US" w:eastAsia="en-US" w:bidi="en-US"/>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eastAsia="Arial" w:cs="Arial"/>
          <w:color w:val="1A7BC0"/>
          <w:lang w:val="en-GB" w:eastAsia="en-GB" w:bidi="en-GB"/>
        </w:rPr>
      </w:pPr>
      <w:r>
        <w:rPr>
          <w:rFonts w:ascii="Arial" w:hAnsi="Arial" w:eastAsia="Arial" w:cs="Arial"/>
          <w:color w:val="1A7BC0"/>
          <w:lang w:val="en-GB" w:eastAsia="en-GB" w:bidi="en-GB"/>
        </w:rPr>
        <w:t xml:space="preserve">Time commitment &amp; ways of working</w:t>
      </w:r>
    </w:p>
    <w:p>
      <w:pPr>
        <w:pStyle w:val="BodyText"/>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2"/>
        <w:jc w:val="both"/>
        <w:rPr>
          <w:sz w:val="20"/>
          <w:szCs w:val="20"/>
          <w:lang w:val="en-GB" w:eastAsia="en-GB" w:bidi="en-GB"/>
        </w:rPr>
      </w:pPr>
      <w:r>
        <w:rPr>
          <w:sz w:val="20"/>
          <w:szCs w:val="20"/>
          <w:lang w:val="en-GB" w:eastAsia="en-GB" w:bidi="en-GB"/>
        </w:rPr>
        <w:t xml:space="preserve">Currently, the group meets at least 3 times a year and otherwise as required as determined by the Chair of the IDAG, to provide advice on the LTA Inclusion Strategy initiatives. For the avoidance of any doubt, a meeting may be held in-person, by telephone call, by video conference call or by a hybrid of the foregoing options, or otherwise in any way that a simple majority of the members of the IDAG may agree.</w:t>
      </w:r>
    </w:p>
    <w:p>
      <w:pPr>
        <w:pStyle w:val="BodyText"/>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2"/>
        <w:jc w:val="both"/>
        <w:rPr>
          <w:sz w:val="20"/>
          <w:szCs w:val="20"/>
          <w:lang w:val="en-GB" w:eastAsia="en-GB" w:bidi="en-GB"/>
        </w:rPr>
      </w:pPr>
      <w:r>
        <w:rPr>
          <w:sz w:val="20"/>
          <w:szCs w:val="20"/>
          <w:lang w:val="en-GB" w:eastAsia="en-GB" w:bidi="en-GB"/>
        </w:rPr>
        <w:t xml:space="preserve">Unless otherwise agreed, notice of each meeting confirming the venue (if applicable), time and date, together with an agenda of items to be discussed at the meeting, will be forwarded to each member of the IDAG and any other person required to attend no later than five working days before the date of the meeting. Supporting papers will be sent to IDAG members and to other attendees, as appropriate, at the same time.</w:t>
      </w:r>
    </w:p>
    <w:p>
      <w:pPr>
        <w:pStyle w:val="BodyText"/>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2"/>
        <w:jc w:val="both"/>
        <w:rPr>
          <w:sz w:val="20"/>
          <w:szCs w:val="20"/>
          <w:lang w:val="en-GB" w:eastAsia="en-GB" w:bidi="en-GB"/>
        </w:rPr>
      </w:pPr>
      <w:r>
        <w:rPr>
          <w:b/>
          <w:bCs/>
          <w:sz w:val="20"/>
          <w:szCs w:val="20"/>
          <w:lang w:val="en-GB" w:eastAsia="en-GB" w:bidi="en-GB"/>
        </w:rPr>
        <w:t xml:space="preserve">Remuneration:</w:t>
      </w:r>
      <w:r>
        <w:rPr>
          <w:sz w:val="20"/>
          <w:szCs w:val="20"/>
          <w:lang w:val="en-GB" w:eastAsia="en-GB" w:bidi="en-GB"/>
        </w:rPr>
        <w:t xml:space="preserve"> This is a voluntary position, which is unremunerated, although LTA will reimburse you for reasonable and properly incurred out-of-pocket expenses that you incur in performing your role and duties, provided that such expenses are incurred in accordance with the LTA Expenses Policy as notified to you from time to time.</w:t>
      </w:r>
    </w:p>
    <w:p>
      <w:pPr>
        <w:pStyle w:val="BodyText"/>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2"/>
        <w:jc w:val="both"/>
        <w:rPr>
          <w:sz w:val="20"/>
          <w:szCs w:val="20"/>
          <w:lang w:val="en-GB" w:eastAsia="en-GB" w:bidi="en-GB"/>
        </w:rPr>
      </w:pPr>
      <w:r>
        <w:rPr>
          <w:b/>
          <w:bCs/>
          <w:sz w:val="20"/>
          <w:szCs w:val="20"/>
          <w:lang w:val="en-GB" w:eastAsia="en-GB" w:bidi="en-GB"/>
        </w:rPr>
        <w:t xml:space="preserve">Term of office: </w:t>
      </w:r>
      <w:r>
        <w:rPr>
          <w:sz w:val="20"/>
          <w:szCs w:val="20"/>
          <w:lang w:val="en-GB" w:eastAsia="en-GB" w:bidi="en-GB"/>
        </w:rPr>
        <w:t xml:space="preserve">Any appointments to the IDAG will be for a period of up to three years, which may be extended for up to two additional periods (of a maximum of three years each, up to an aggregate maximum of nine years), provided that the member still meets the criteria for membership. For the avoidance of doubt, there will be no presumption that any term of appointment will be for three years.</w:t>
      </w:r>
    </w:p>
    <w:p>
      <w:pPr>
        <w:pStyle w:val="BodyText"/>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2"/>
        <w:jc w:val="both"/>
        <w:rPr>
          <w:sz w:val="20"/>
          <w:szCs w:val="20"/>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hAnsi="Arial" w:eastAsia="Arial" w:cs="Arial"/>
          <w:lang w:val="en-GB" w:eastAsia="en-GB" w:bidi="en-GB"/>
        </w:rPr>
      </w:pPr>
      <w:r>
        <w:rPr>
          <w:rFonts w:ascii="Arial" w:hAnsi="Arial" w:eastAsia="Arial" w:cs="Arial"/>
          <w:lang w:val="en-GB" w:eastAsia="en-GB" w:bidi="en-GB"/>
        </w:rPr>
        <w:t xml:space="preserve">Personal Attributes (The group adopts and lives by the LTA’s five values:)</w:t>
      </w:r>
    </w:p>
    <w:tbl>
      <w:tblPr>
        <w:tblW w:w="0" w:type="auto"/>
        <w:jc w:val="left"/>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top w:w="0" w:type="dxa"/>
          <w:left w:w="108" w:type="dxa"/>
          <w:bottom w:w="0" w:type="dxa"/>
          <w:right w:w="108" w:type="dxa"/>
        </w:tblCellMar>
      </w:tblPr>
      <w:tblGrid>
        <w:gridCol w:w="1471"/>
        <w:gridCol w:w="8635"/>
      </w:tblGrid>
      <w:tr>
        <w:trPr>
          <w:trHeight w:val="755" w:hRule="atLeast"/>
        </w:trPr>
        <w:tc>
          <w:tcPr>
            <w:tcW w:w="1471" w:type="dxa"/>
            <w:shd w:val="clear" w:color="auto" w:fill="auto"/>
            <w:vAlign w:val="top"/>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3"/>
              <w:rPr>
                <w:b/>
                <w:bCs/>
                <w:i/>
                <w:iCs/>
                <w:lang w:val="en-GB" w:eastAsia="en-GB" w:bidi="en-GB"/>
              </w:rPr>
            </w:pPr>
            <w:r>
              <w:rPr>
                <w:b/>
                <w:bCs/>
                <w:i/>
                <w:iCs/>
                <w:lang w:val="en-GB" w:eastAsia="en-GB" w:bidi="en-GB"/>
              </w:rPr>
              <w:t xml:space="preserve">Inclusion</w:t>
            </w:r>
          </w:p>
        </w:tc>
        <w:tc>
          <w:tcPr>
            <w:tcW w:w="8635" w:type="dxa"/>
            <w:shd w:val="clear" w:color="auto" w:fill="auto"/>
            <w:vAlign w:val="top"/>
          </w:tcPr>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I make people feel welcome.</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I recognise the power of our differences.</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I create a safe environment.</w:t>
            </w:r>
          </w:p>
        </w:tc>
      </w:tr>
      <w:tr>
        <w:trPr>
          <w:trHeight w:val="755" w:hRule="atLeast"/>
        </w:trPr>
        <w:tc>
          <w:tcPr>
            <w:tcW w:w="1471" w:type="dxa"/>
            <w:shd w:val="clear" w:color="auto" w:fill="auto"/>
            <w:vAlign w:val="top"/>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3"/>
              <w:rPr>
                <w:b/>
                <w:bCs/>
                <w:i/>
                <w:iCs/>
                <w:lang w:val="en-GB" w:eastAsia="en-GB" w:bidi="en-GB"/>
              </w:rPr>
            </w:pPr>
            <w:r>
              <w:rPr>
                <w:b/>
                <w:bCs/>
                <w:i/>
                <w:iCs/>
                <w:lang w:val="en-GB" w:eastAsia="en-GB" w:bidi="en-GB"/>
              </w:rPr>
              <w:t xml:space="preserve">Teamwork</w:t>
            </w:r>
          </w:p>
        </w:tc>
        <w:tc>
          <w:tcPr>
            <w:tcW w:w="8635" w:type="dxa"/>
            <w:shd w:val="clear" w:color="auto" w:fill="auto"/>
            <w:vAlign w:val="top"/>
          </w:tcPr>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lang w:val="en-GB" w:eastAsia="en-GB" w:bidi="en-GB"/>
              </w:rPr>
            </w:pPr>
            <w:r>
              <w:rPr>
                <w:lang w:val="en-GB" w:eastAsia="en-GB" w:bidi="en-GB"/>
              </w:rPr>
              <w:t xml:space="preserve">I collaborate well across teams.</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lang w:val="en-GB" w:eastAsia="en-GB" w:bidi="en-GB"/>
              </w:rPr>
            </w:pPr>
            <w:r>
              <w:rPr>
                <w:lang w:val="en-GB" w:eastAsia="en-GB" w:bidi="en-GB"/>
              </w:rPr>
              <w:t xml:space="preserve">I actively listen to others. </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lang w:val="en-GB" w:eastAsia="en-GB" w:bidi="en-GB"/>
              </w:rPr>
            </w:pPr>
            <w:r>
              <w:rPr>
                <w:lang w:val="en-GB" w:eastAsia="en-GB" w:bidi="en-GB"/>
              </w:rPr>
              <w:t xml:space="preserve">I actively offer to help others.</w:t>
            </w:r>
          </w:p>
        </w:tc>
      </w:tr>
      <w:tr>
        <w:trPr>
          <w:trHeight w:val="633" w:hRule="atLeast"/>
        </w:trPr>
        <w:tc>
          <w:tcPr>
            <w:tcW w:w="1471" w:type="dxa"/>
            <w:shd w:val="clear" w:color="auto" w:fill="auto"/>
            <w:vAlign w:val="top"/>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3"/>
              <w:rPr>
                <w:b/>
                <w:bCs/>
                <w:i/>
                <w:iCs/>
                <w:lang w:val="en-GB" w:eastAsia="en-GB" w:bidi="en-GB"/>
              </w:rPr>
            </w:pPr>
            <w:r>
              <w:rPr>
                <w:b/>
                <w:bCs/>
                <w:i/>
                <w:iCs/>
                <w:lang w:val="en-GB" w:eastAsia="en-GB" w:bidi="en-GB"/>
              </w:rPr>
              <w:t xml:space="preserve">Integrity</w:t>
            </w:r>
          </w:p>
        </w:tc>
        <w:tc>
          <w:tcPr>
            <w:tcW w:w="8635" w:type="dxa"/>
            <w:shd w:val="clear" w:color="auto" w:fill="auto"/>
            <w:vAlign w:val="top"/>
          </w:tcPr>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lang w:val="en-GB" w:eastAsia="en-GB" w:bidi="en-GB"/>
              </w:rPr>
            </w:pPr>
            <w:r>
              <w:rPr>
                <w:lang w:val="en-GB" w:eastAsia="en-GB" w:bidi="en-GB"/>
              </w:rPr>
              <w:t xml:space="preserve">I act with honesty and respect.</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lang w:val="en-GB" w:eastAsia="en-GB" w:bidi="en-GB"/>
              </w:rPr>
            </w:pPr>
            <w:r>
              <w:rPr>
                <w:lang w:val="en-GB" w:eastAsia="en-GB" w:bidi="en-GB"/>
              </w:rPr>
              <w:t xml:space="preserve">I take responsibility for my actions.</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lang w:val="en-GB" w:eastAsia="en-GB" w:bidi="en-GB"/>
              </w:rPr>
            </w:pPr>
            <w:r>
              <w:rPr>
                <w:lang w:val="en-GB" w:eastAsia="en-GB" w:bidi="en-GB"/>
              </w:rPr>
              <w:t xml:space="preserve">I am dependable.</w:t>
            </w:r>
          </w:p>
        </w:tc>
      </w:tr>
      <w:tr>
        <w:trPr>
          <w:trHeight w:val="74" w:hRule="atLeast"/>
        </w:trPr>
        <w:tc>
          <w:tcPr>
            <w:tcW w:w="1471" w:type="dxa"/>
            <w:shd w:val="clear" w:color="auto" w:fill="auto"/>
            <w:vAlign w:val="top"/>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3"/>
              <w:rPr>
                <w:b/>
                <w:bCs/>
                <w:i/>
                <w:iCs/>
                <w:lang w:val="en-GB" w:eastAsia="en-GB" w:bidi="en-GB"/>
              </w:rPr>
            </w:pPr>
            <w:r>
              <w:rPr>
                <w:b/>
                <w:bCs/>
                <w:i/>
                <w:iCs/>
                <w:lang w:val="en-GB" w:eastAsia="en-GB" w:bidi="en-GB"/>
              </w:rPr>
              <w:t xml:space="preserve">Passion</w:t>
            </w:r>
          </w:p>
        </w:tc>
        <w:tc>
          <w:tcPr>
            <w:tcW w:w="8635" w:type="dxa"/>
            <w:shd w:val="clear" w:color="auto" w:fill="auto"/>
            <w:vAlign w:val="top"/>
          </w:tcPr>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lang w:val="en-GB" w:eastAsia="en-GB" w:bidi="en-GB"/>
              </w:rPr>
            </w:pPr>
            <w:r>
              <w:rPr>
                <w:lang w:val="en-GB" w:eastAsia="en-GB" w:bidi="en-GB"/>
              </w:rPr>
              <w:t xml:space="preserve">I approach things with a positive mindset.</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lang w:val="en-GB" w:eastAsia="en-GB" w:bidi="en-GB"/>
              </w:rPr>
            </w:pPr>
            <w:r>
              <w:rPr>
                <w:lang w:val="en-GB" w:eastAsia="en-GB" w:bidi="en-GB"/>
              </w:rPr>
              <w:t xml:space="preserve">I motivate and energise others.</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lang w:val="en-GB" w:eastAsia="en-GB" w:bidi="en-GB"/>
              </w:rPr>
            </w:pPr>
            <w:r>
              <w:rPr>
                <w:lang w:val="en-GB" w:eastAsia="en-GB" w:bidi="en-GB"/>
              </w:rPr>
              <w:t xml:space="preserve">I take pride in my work. </w:t>
            </w:r>
          </w:p>
        </w:tc>
      </w:tr>
      <w:tr>
        <w:trPr>
          <w:trHeight w:val="862" w:hRule="atLeast"/>
        </w:trPr>
        <w:tc>
          <w:tcPr>
            <w:tcW w:w="1471" w:type="dxa"/>
            <w:shd w:val="clear" w:color="auto" w:fill="auto"/>
            <w:vAlign w:val="top"/>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3"/>
              <w:rPr>
                <w:b/>
                <w:bCs/>
                <w:i/>
                <w:iCs/>
                <w:lang w:val="en-GB" w:eastAsia="en-GB" w:bidi="en-GB"/>
              </w:rPr>
            </w:pPr>
            <w:r>
              <w:rPr>
                <w:b/>
                <w:bCs/>
                <w:i/>
                <w:iCs/>
                <w:lang w:val="en-GB" w:eastAsia="en-GB" w:bidi="en-GB"/>
              </w:rPr>
              <w:t xml:space="preserve">Excellence</w:t>
            </w:r>
          </w:p>
        </w:tc>
        <w:tc>
          <w:tcPr>
            <w:tcW w:w="8635" w:type="dxa"/>
            <w:shd w:val="clear" w:color="auto" w:fill="auto"/>
            <w:vAlign w:val="top"/>
          </w:tcPr>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lang w:val="en-GB" w:eastAsia="en-GB" w:bidi="en-GB"/>
              </w:rPr>
            </w:pPr>
            <w:r>
              <w:rPr>
                <w:lang w:val="en-GB" w:eastAsia="en-GB" w:bidi="en-GB"/>
              </w:rPr>
              <w:t xml:space="preserve">I am ambitious and want to exceed expectations.</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lang w:val="en-GB" w:eastAsia="en-GB" w:bidi="en-GB"/>
              </w:rPr>
            </w:pPr>
            <w:r>
              <w:rPr>
                <w:lang w:val="en-GB" w:eastAsia="en-GB" w:bidi="en-GB"/>
              </w:rPr>
              <w:t xml:space="preserve">I want to learn more to improve.</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lang w:val="en-GB" w:eastAsia="en-GB" w:bidi="en-GB"/>
              </w:rPr>
            </w:pPr>
            <w:r>
              <w:rPr>
                <w:lang w:val="en-GB" w:eastAsia="en-GB" w:bidi="en-GB"/>
              </w:rPr>
              <w:t xml:space="preserve">I am adaptable to change.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07"/>
      <w:footerReference w:type="default" r:id="rId00008"/>
      <w:pgSz w:w="11906" w:h="16838"/>
      <w:pgMar w:top="680" w:right="1134" w:bottom="1474" w:left="1134" w:header="454" w:footer="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rial Bold">
    <w:panose1 w:val="020B0704020202020204"/>
    <w:charset w:val="00"/>
    <w:family w:val="swiss"/>
    <w:pitch w:val="variable"/>
    <w:sig w:usb0="E0002EFF" w:usb1="C000785B" w:usb2="00000009" w:usb3="00000000" w:csb0="400001FF" w:csb1="FFFF0000"/>
  </w:font>
  <w:font w:name="Cambria">
    <w:panose1 w:val="02040503050406030204"/>
    <w:charset w:val="00"/>
    <w:family w:val="roman"/>
    <w:pitch w:val="variable"/>
    <w:sig w:usb0="E00006FF" w:usb1="420024FF" w:usb2="02000000" w:usb3="00000000" w:csb0="2000019F" w:csb1="00000000"/>
  </w:font>
  <w:font w:name="Lucida Grande">
    <w:charset w:val="00"/>
    <w:family w:val="roman"/>
    <w:pitch w:val="default"/>
  </w:font>
  <w:font w:name="Ariall">
    <w:charset w:val="00"/>
    <w:family w:val="auto"/>
    <w:pitch w:val="default"/>
  </w:font>
  <w:font w:name="Calibri">
    <w:panose1 w:val="020F0502020204030204"/>
    <w:charset w:val="00"/>
    <w:family w:val="swiss"/>
    <w:pitch w:val="variable"/>
    <w:sig w:usb0="E0002EFF" w:usb1="C000247B" w:usb2="00000009" w:usb3="00000000" w:csb0="200001FF" w:csb1="00000000"/>
  </w:font>
  <w:font w:name="Impact">
    <w:panose1 w:val="020B0806030902050204"/>
    <w:charset w:val="00"/>
    <w:family w:val="swiss"/>
    <w:pitch w:val="variable"/>
    <w:sig w:usb0="00000287" w:usb1="00000000" w:usb2="00000000" w:usb3="00000000" w:csb0="2000009F" w:csb1="DFD7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7488"/>
    </w:tblGrid>
    <w:tr>
      <w:trPr>
        <w:trHeight w:val="284" w:hRule="atLeast"/>
      </w:trPr>
      <w:tc>
        <w:tcPr>
          <w:tcW w:w="7488" w:type="dxa"/>
          <w:shd w:val="clear" w:color="auto" w:fill="auto"/>
          <w:vAlign w:val="top"/>
        </w:tcPr>
        <w:p>
          <w:pPr>
            <w:pStyle w:val="Footer Ref."/>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3" w:firstLine="3827"/>
            <w:jc w:val="right"/>
            <w:rPr>
              <w:color w:val="185292"/>
              <w:lang w:val="en-GB" w:eastAsia="en-GB" w:bidi="en-GB"/>
            </w:rPr>
          </w:pPr>
          <w:r>
            <w:rPr>
              <w:noProof/>
              <w:color w:val="185292"/>
              <w:lang w:val="en-GB" w:eastAsia="en-GB" w:bidi="en-GB"/>
            </w:rPr>
            <w:fldChar w:fldCharType="begin"/>
          </w:r>
          <w:r>
            <w:rPr>
              <w:noProof/>
              <w:color w:val="185292"/>
              <w:lang w:val="en-GB" w:eastAsia="en-GB" w:bidi="en-GB"/>
            </w:rPr>
            <w:instrText xml:space="preserve"> PAGE \* Arabic \* MERGEFORMAT </w:instrText>
          </w:r>
          <w:r>
            <w:rPr>
              <w:noProof/>
              <w:color w:val="185292"/>
              <w:lang w:val="en-GB" w:eastAsia="en-GB" w:bidi="en-GB"/>
            </w:rPr>
            <w:fldChar w:fldCharType="separate"/>
          </w:r>
          <w:r>
            <w:rPr>
              <w:noProof/>
              <w:color w:val="185292"/>
              <w:lang w:val="en-GB" w:eastAsia="en-GB" w:bidi="en-GB"/>
            </w:rPr>
            <w:t xml:space="preserve">2</w:t>
          </w:r>
          <w:r>
            <w:rPr>
              <w:color w:val="185292"/>
              <w:lang w:val="en-GB" w:eastAsia="en-GB" w:bidi="en-GB"/>
            </w:rPr>
            <w:fldChar w:fldCharType="end"/>
          </w:r>
          <w:r>
            <w:rPr>
              <w:color w:val="185292"/>
              <w:lang w:val="en-GB" w:eastAsia="en-GB" w:bidi="en-GB"/>
            </w:rPr>
            <w:t xml:space="preserve"> / </w:t>
          </w:r>
          <w:r>
            <w:rPr>
              <w:noProof/>
              <w:color w:val="185292"/>
              <w:lang w:val="en-GB" w:eastAsia="en-GB" w:bidi="en-GB"/>
            </w:rPr>
            <w:fldChar w:fldCharType="begin"/>
          </w:r>
          <w:r>
            <w:rPr>
              <w:noProof/>
              <w:color w:val="185292"/>
              <w:lang w:val="en-GB" w:eastAsia="en-GB" w:bidi="en-GB"/>
            </w:rPr>
            <w:instrText xml:space="preserve"> DATE \* MERGEFORMAT </w:instrText>
          </w:r>
          <w:r>
            <w:rPr>
              <w:noProof/>
              <w:color w:val="185292"/>
              <w:lang w:val="en-GB" w:eastAsia="en-GB" w:bidi="en-GB"/>
            </w:rPr>
            <w:fldChar w:fldCharType="separate"/>
          </w:r>
          <w:r>
            <w:rPr>
              <w:noProof/>
              <w:color w:val="185292"/>
              <w:lang w:val="en-GB" w:eastAsia="en-GB" w:bidi="en-GB"/>
            </w:rPr>
            <w:t xml:space="preserve">04/03/2026</w:t>
          </w:r>
          <w:r>
            <w:rPr>
              <w:color w:val="185292"/>
              <w:lang w:val="en-GB" w:eastAsia="en-GB" w:bidi="en-GB"/>
            </w:rPr>
            <w:fldChar w:fldCharType="end"/>
          </w:r>
        </w:p>
      </w:tc>
    </w:tr>
  </w:tbl>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lang w:val="en-GB" w:eastAsia="en-GB" w:bidi="en-GB"/>
      </w:rPr>
    </w:pPr>
    <w:r>
      <w:rPr>
        <w:lang w:val="en-GB" w:eastAsia="en-GB" w:bidi="en-GB"/>
      </w:rPr>
      <w:drawing>
        <wp:inline distT="0" distB="0" distL="0" distR="0">
          <wp:extent cx="7562850" cy="1543050"/>
          <wp:docPr id="1" name="Picture 25"/>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7562850" cy="1543050"/>
                  </a:xfrm>
                  <a:prstGeom prst="rect">
                    <a:avLst/>
                  </a:prstGeom>
                </pic:spPr>
              </pic:pic>
            </a:graphicData>
          </a:graphic>
        </wp:inline>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360"/>
      <w:rPr>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pStyle w:val="Bulleted Text Level 1"/>
      <w:suff w:val="tab"/>
      <w:lvlText w:val=""/>
      <w:pPr>
        <w:ind w:left="284" w:hanging="284"/>
        <w:tabs>
          <w:tab w:val="num" w:pos="284"/>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pStyle w:val="Bulleted Text Level 2"/>
      <w:suff w:val="tab"/>
      <w:lvlText w:val="−"/>
      <w:pPr>
        <w:ind w:left="567" w:hanging="283"/>
        <w:tabs>
          <w:tab w:val="num" w:pos="567"/>
        </w:tabs>
      </w:pPr>
      <w:rPr>
        <w:rFonts w:hint="default" w:ascii="Ariall" w:hAnsi="Ariall" w:eastAsia="Ariall" w:cs="Ariall"/>
        <w:b w:val="off"/>
        <w:i w:val="off"/>
        <w:strike w:val="off"/>
        <w:color w:val="auto"/>
        <w:position w:val="0"/>
        <w:sz w:val="22"/>
        <w:u w:val="none"/>
        <w:shd w:val="clear" w:color="auto" w:fill="auto"/>
      </w:rPr>
    </w:lvl>
  </w:abstractNum>
  <w:abstractNum w:abstractNumId="2">
    <w:multiLevelType w:val="singleLevel"/>
    <w:lvl w:ilvl="0">
      <w:start w:val="1"/>
      <w:numFmt w:val="bullet"/>
      <w:suff w:val="tab"/>
      <w:lvlText w:val=""/>
      <w:pPr>
        <w:ind w:left="732" w:hanging="360"/>
        <w:tabs>
          <w:tab w:val="num" w:pos="732"/>
        </w:tabs>
      </w:pPr>
      <w:rPr>
        <w:rFonts w:hint="default" w:ascii="Symbol" w:hAnsi="Symbol" w:eastAsia="Symbol" w:cs="Symbol"/>
        <w:b w:val="off"/>
        <w:i w:val="off"/>
        <w:strike w:val="off"/>
        <w:color w:val="auto"/>
        <w:position w:val="0"/>
        <w:sz w:val="20"/>
        <w:u w:val="none"/>
        <w:shd w:val="clear" w:color="auto" w:fill="auto"/>
      </w:rPr>
    </w:lvl>
  </w:abstractNum>
  <w:abstractNum w:abstractNumId="3">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pPr>
    <w:rPr>
      <w:sz w:val="20"/>
      <w:szCs w:val="20"/>
      <w:lang w:val="en-GB" w:eastAsia="en-GB" w:bidi="en-GB"/>
    </w:rPr>
  </w:style>
  <w:style w:type="paragraph" w:styleId="Normal">
    <w:name w:val="Normal"/>
    <w:next w:val="Normal"/>
    <w:qFormat/>
    <w:pPr>
      <w:widowControl w:val="on"/>
      <w:shd w:val="clear" w:color="auto" w:fill="auto"/>
      <w:spacing w:before="0" w:after="0" w:line="250" w:lineRule="atLeast"/>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Footer Ref." w:customStyle="1">
    <w:name w:val="Footer Ref."/>
    <w:basedOn w:val="Normal"/>
    <w:next w:val="Footer Ref."/>
    <w:qFormat/>
    <w:pPr>
      <w:spacing w:line="200" w:lineRule="atLeast"/>
    </w:pPr>
    <w:rPr>
      <w:color w:val="003591"/>
      <w:sz w:val="14"/>
      <w:szCs w:val="14"/>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Heading2">
    <w:name w:val="heading 2"/>
    <w:basedOn w:val="Normal"/>
    <w:next w:val="Normal"/>
    <w:qFormat/>
    <w:pPr>
      <w:keepNext/>
      <w:spacing w:after="80"/>
      <w:outlineLvl w:val="1"/>
    </w:pPr>
    <w:rPr>
      <w:rFonts w:ascii="Arial Bold" w:hAnsi="Arial Bold" w:eastAsia="Arial Bold" w:cs="Arial Bold"/>
      <w:b/>
      <w:bCs/>
      <w:color w:val="0086CB"/>
      <w:sz w:val="28"/>
      <w:szCs w:val="28"/>
      <w:lang w:val="en-GB" w:eastAsia="en-GB" w:bidi="en-GB"/>
    </w:rPr>
  </w:style>
  <w:style w:type="paragraph" w:styleId="BodyText">
    <w:name w:val="Body Text"/>
    <w:basedOn w:val="Normal"/>
    <w:next w:val="BodyText"/>
    <w:qFormat/>
    <w:pPr>
      <w:spacing w:after="120"/>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spacing w:after="580"/>
      <w:outlineLvl w:val="0"/>
    </w:pPr>
    <w:rPr>
      <w:rFonts w:ascii="Arial Bold" w:hAnsi="Arial Bold" w:eastAsia="Arial Bold" w:cs="Arial Bold"/>
      <w:b/>
      <w:bCs/>
      <w:color w:val="003591"/>
      <w:sz w:val="32"/>
      <w:szCs w:val="32"/>
      <w:lang w:val="en-GB" w:eastAsia="en-GB" w:bidi="en-GB"/>
    </w:rPr>
  </w:style>
  <w:style w:type="paragraph" w:styleId="Heading3">
    <w:name w:val="heading 3"/>
    <w:basedOn w:val="Normal"/>
    <w:next w:val="Normal"/>
    <w:qFormat/>
    <w:pPr>
      <w:keepNext/>
      <w:spacing w:after="80"/>
      <w:outlineLvl w:val="2"/>
    </w:pPr>
    <w:rPr>
      <w:rFonts w:ascii="Arial Bold" w:hAnsi="Arial Bold" w:eastAsia="Arial Bold" w:cs="Arial Bold"/>
      <w:b/>
      <w:bCs/>
      <w:color w:val="0086CB"/>
      <w:lang w:val="en-GB" w:eastAsia="en-GB" w:bidi="en-GB"/>
    </w:rPr>
  </w:style>
  <w:style w:type="paragraph" w:styleId="Heading4">
    <w:name w:val="heading 4"/>
    <w:basedOn w:val="Normal"/>
    <w:next w:val="Normal"/>
    <w:qFormat/>
    <w:pPr>
      <w:keepNext/>
      <w:spacing w:after="80"/>
      <w:outlineLvl w:val="3"/>
    </w:pPr>
    <w:rPr>
      <w:i/>
      <w:iCs/>
      <w:color w:val="0086CB"/>
      <w:lang w:val="en-GB" w:eastAsia="en-GB" w:bidi="en-GB"/>
    </w:rPr>
  </w:style>
  <w:style w:type="paragraph" w:styleId="Heading5">
    <w:name w:val="heading 5"/>
    <w:basedOn w:val="Normal"/>
    <w:next w:val="Normal"/>
    <w:qFormat/>
    <w:pPr>
      <w:keepNext/>
      <w:keepLines/>
      <w:spacing w:before="80" w:after="40"/>
      <w:outlineLvl w:val="4"/>
    </w:pPr>
    <w:rPr>
      <w:rFonts w:ascii="Cambria" w:hAnsi="Cambria" w:eastAsia="Cambria" w:cs="Cambria"/>
      <w:color w:val="366091"/>
      <w:lang w:val="en-GB" w:eastAsia="en-GB" w:bidi="en-GB"/>
    </w:rPr>
  </w:style>
  <w:style w:type="paragraph" w:styleId="Heading6">
    <w:name w:val="heading 6"/>
    <w:basedOn w:val="Normal"/>
    <w:next w:val="Normal"/>
    <w:qFormat/>
    <w:pPr>
      <w:keepNext/>
      <w:keepLines/>
      <w:spacing w:before="40"/>
      <w:outlineLvl w:val="5"/>
    </w:pPr>
    <w:rPr>
      <w:rFonts w:ascii="Cambria" w:hAnsi="Cambria" w:eastAsia="Cambria" w:cs="Cambria"/>
      <w:i/>
      <w:iCs/>
      <w:color w:val="595959"/>
      <w:lang w:val="en-GB" w:eastAsia="en-GB" w:bidi="en-GB"/>
    </w:rPr>
  </w:style>
  <w:style w:type="paragraph" w:styleId="Heading7">
    <w:name w:val="heading 7"/>
    <w:basedOn w:val="Normal"/>
    <w:next w:val="Normal"/>
    <w:qFormat/>
    <w:pPr>
      <w:keepNext/>
      <w:keepLines/>
      <w:spacing w:before="40"/>
      <w:outlineLvl w:val="6"/>
    </w:pPr>
    <w:rPr>
      <w:rFonts w:ascii="Cambria" w:hAnsi="Cambria" w:eastAsia="Cambria" w:cs="Cambria"/>
      <w:color w:val="595959"/>
      <w:lang w:val="en-GB" w:eastAsia="en-GB" w:bidi="en-GB"/>
    </w:rPr>
  </w:style>
  <w:style w:type="paragraph" w:styleId="Heading8">
    <w:name w:val="heading 8"/>
    <w:basedOn w:val="Normal"/>
    <w:next w:val="Normal"/>
    <w:qFormat/>
    <w:pPr>
      <w:keepNext/>
      <w:keepLines/>
      <w:outlineLvl w:val="7"/>
    </w:pPr>
    <w:rPr>
      <w:rFonts w:ascii="Cambria" w:hAnsi="Cambria" w:eastAsia="Cambria" w:cs="Cambria"/>
      <w:i/>
      <w:iCs/>
      <w:color w:val="272727"/>
      <w:lang w:val="en-GB" w:eastAsia="en-GB" w:bidi="en-GB"/>
    </w:rPr>
  </w:style>
  <w:style w:type="paragraph" w:styleId="Heading9">
    <w:name w:val="heading 9"/>
    <w:basedOn w:val="Normal"/>
    <w:next w:val="Normal"/>
    <w:qFormat/>
    <w:pPr>
      <w:keepNext/>
      <w:keepLines/>
      <w:outlineLvl w:val="8"/>
    </w:pPr>
    <w:rPr>
      <w:rFonts w:ascii="Cambria" w:hAnsi="Cambria" w:eastAsia="Cambria" w:cs="Cambria"/>
      <w:color w:val="272727"/>
      <w:lang w:val="en-GB" w:eastAsia="en-GB" w:bidi="en-GB"/>
    </w:rPr>
  </w:style>
  <w:style w:type="paragraph" w:styleId="Private &amp; Confidential" w:customStyle="1">
    <w:name w:val="Private &amp; Confidential"/>
    <w:basedOn w:val="Normal"/>
    <w:next w:val="Private &amp; Confidential"/>
    <w:qFormat/>
    <w:pPr>
      <w:spacing w:after="60" w:line="300" w:lineRule="atLeast"/>
    </w:pPr>
    <w:rPr>
      <w:b/>
      <w:bCs/>
      <w:color w:val="003591"/>
      <w:lang w:val="en-GB" w:eastAsia="en-GB" w:bidi="en-GB"/>
    </w:rPr>
  </w:style>
  <w:style w:type="paragraph" w:styleId="Bold Text" w:customStyle="1">
    <w:name w:val="Bold Text"/>
    <w:basedOn w:val="Normal"/>
    <w:next w:val="Bold Text"/>
    <w:qFormat/>
    <w:pPr/>
    <w:rPr>
      <w:b/>
      <w:bCs/>
      <w:lang w:val="en-GB" w:eastAsia="en-GB" w:bidi="en-GB"/>
    </w:rPr>
  </w:style>
  <w:style w:type="paragraph" w:styleId="10pt Italic" w:customStyle="1">
    <w:name w:val="10pt Italic"/>
    <w:basedOn w:val="Normal"/>
    <w:next w:val="10pt Italic"/>
    <w:qFormat/>
    <w:pPr>
      <w:spacing w:after="60"/>
    </w:pPr>
    <w:rPr>
      <w:b/>
      <w:bCs/>
      <w:i/>
      <w:iCs/>
      <w:sz w:val="20"/>
      <w:szCs w:val="20"/>
      <w:lang w:val="en-GB" w:eastAsia="en-GB" w:bidi="en-GB"/>
    </w:rPr>
  </w:style>
  <w:style w:type="paragraph" w:styleId="Bulleted Text Level 1" w:customStyle="1">
    <w:name w:val="Bulleted Text Level 1"/>
    <w:basedOn w:val="Normal"/>
    <w:next w:val="Bulleted Text Level 1"/>
    <w:qFormat/>
    <w:pPr>
      <w:numPr>
        <w:ilvl w:val="0"/>
        <w:numId w:val="1"/>
      </w:numPr>
      <w:tabs>
        <w:tab w:val="left" w:pos="284"/>
      </w:tabs>
      <w:spacing w:after="120"/>
      <w:ind w:left="284" w:hanging="284"/>
    </w:pPr>
    <w:rPr>
      <w:lang w:val="en-GB" w:eastAsia="en-GB" w:bidi="en-GB"/>
    </w:rPr>
  </w:style>
  <w:style w:type="paragraph" w:styleId="NormalWeb">
    <w:name w:val="Normal (Web)"/>
    <w:basedOn w:val="Normal"/>
    <w:next w:val="NormalWeb"/>
    <w:qFormat/>
    <w:pPr/>
    <w:rPr>
      <w:rFonts w:ascii="Times New Roman" w:hAnsi="Times New Roman" w:eastAsia="Times New Roman" w:cs="Times New Roman"/>
      <w:sz w:val="20"/>
      <w:szCs w:val="20"/>
      <w:lang w:val="en-GB" w:eastAsia="en-GB" w:bidi="en-GB"/>
    </w:rPr>
  </w:style>
  <w:style w:type="paragraph" w:styleId="BalloonText">
    <w:name w:val="Balloon Text"/>
    <w:basedOn w:val="Normal"/>
    <w:next w:val="BalloonText"/>
    <w:qFormat/>
    <w:pPr/>
    <w:rPr>
      <w:rFonts w:ascii="Lucida Grande" w:hAnsi="Lucida Grande" w:eastAsia="Lucida Grande" w:cs="Lucida Grande"/>
      <w:sz w:val="18"/>
      <w:szCs w:val="18"/>
      <w:lang w:val="en-GB" w:eastAsia="en-GB" w:bidi="en-GB"/>
    </w:rPr>
  </w:style>
  <w:style w:type="paragraph" w:styleId="Bulleted Text Level 2" w:customStyle="1">
    <w:name w:val="Bulleted Text Level 2"/>
    <w:basedOn w:val="Normal"/>
    <w:next w:val="Bulleted Text Level 2"/>
    <w:qFormat/>
    <w:pPr>
      <w:numPr>
        <w:ilvl w:val="0"/>
        <w:numId w:val="2"/>
      </w:numPr>
      <w:tabs>
        <w:tab w:val="left" w:pos="567"/>
      </w:tabs>
      <w:spacing w:after="120"/>
      <w:ind w:left="567" w:hanging="283"/>
    </w:pPr>
    <w:rPr>
      <w:lang w:val="en-GB" w:eastAsia="en-GB" w:bidi="en-GB"/>
    </w:rPr>
  </w:style>
  <w:style w:type="paragraph" w:styleId="Additional Cover Information" w:customStyle="1">
    <w:name w:val="Additional Cover Information"/>
    <w:basedOn w:val="Normal"/>
    <w:next w:val="Additional Cover Information"/>
    <w:qFormat/>
    <w:pPr>
      <w:spacing w:after="120"/>
    </w:pPr>
    <w:rPr>
      <w:lang w:val="en-GB" w:eastAsia="en-GB" w:bidi="en-GB"/>
    </w:rPr>
  </w:style>
  <w:style w:type="character" w:styleId="Balloon Text Char" w:customStyle="1">
    <w:name w:val="Balloon Text Char"/>
    <w:qFormat/>
    <w:rPr>
      <w:rFonts w:ascii="Lucida Grande" w:hAnsi="Lucida Grande" w:eastAsia="Lucida Grande" w:cs="Lucida Grande"/>
      <w:sz w:val="18"/>
      <w:szCs w:val="18"/>
      <w:rtl w:val="off"/>
      <w:lang w:val="en-GB" w:eastAsia="en-GB" w:bidi="en-GB"/>
    </w:rPr>
  </w:style>
  <w:style w:type="character" w:styleId="Heading 5 Char" w:customStyle="1">
    <w:name w:val="Heading 5 Char"/>
    <w:qFormat/>
    <w:rPr>
      <w:rFonts w:ascii="Cambria" w:hAnsi="Cambria" w:eastAsia="Cambria" w:cs="Cambria"/>
      <w:color w:val="366091"/>
      <w:sz w:val="22"/>
      <w:szCs w:val="22"/>
      <w:rtl w:val="off"/>
    </w:rPr>
  </w:style>
  <w:style w:type="character" w:styleId="Heading 6 Char" w:customStyle="1">
    <w:name w:val="Heading 6 Char"/>
    <w:qFormat/>
    <w:rPr>
      <w:rFonts w:ascii="Cambria" w:hAnsi="Cambria" w:eastAsia="Cambria" w:cs="Cambria"/>
      <w:i/>
      <w:iCs/>
      <w:color w:val="595959"/>
      <w:sz w:val="22"/>
      <w:szCs w:val="22"/>
      <w:rtl w:val="off"/>
    </w:rPr>
  </w:style>
  <w:style w:type="character" w:styleId="Heading 7 Char" w:customStyle="1">
    <w:name w:val="Heading 7 Char"/>
    <w:qFormat/>
    <w:rPr>
      <w:rFonts w:ascii="Cambria" w:hAnsi="Cambria" w:eastAsia="Cambria" w:cs="Cambria"/>
      <w:color w:val="595959"/>
      <w:sz w:val="22"/>
      <w:szCs w:val="22"/>
      <w:rtl w:val="off"/>
    </w:rPr>
  </w:style>
  <w:style w:type="character" w:styleId="Heading 8 Char" w:customStyle="1">
    <w:name w:val="Heading 8 Char"/>
    <w:qFormat/>
    <w:rPr>
      <w:rFonts w:ascii="Cambria" w:hAnsi="Cambria" w:eastAsia="Cambria" w:cs="Cambria"/>
      <w:i/>
      <w:iCs/>
      <w:color w:val="272727"/>
      <w:sz w:val="22"/>
      <w:szCs w:val="22"/>
      <w:rtl w:val="off"/>
    </w:rPr>
  </w:style>
  <w:style w:type="character" w:styleId="Heading 9 Char" w:customStyle="1">
    <w:name w:val="Heading 9 Char"/>
    <w:qFormat/>
    <w:rPr>
      <w:rFonts w:ascii="Cambria" w:hAnsi="Cambria" w:eastAsia="Cambria" w:cs="Cambria"/>
      <w:color w:val="272727"/>
      <w:sz w:val="22"/>
      <w:szCs w:val="22"/>
      <w:rtl w:val="off"/>
    </w:rPr>
  </w:style>
  <w:style w:type="paragraph" w:styleId="Title">
    <w:name w:val="Title"/>
    <w:basedOn w:val="Normal"/>
    <w:next w:val="Normal"/>
    <w:qFormat/>
    <w:pPr>
      <w:spacing w:after="80"/>
    </w:pPr>
    <w:rPr>
      <w:rFonts w:ascii="Calibri" w:hAnsi="Calibri" w:eastAsia="Calibri" w:cs="Calibri"/>
      <w:spacing w:val="-10"/>
      <w:sz w:val="56"/>
      <w:szCs w:val="56"/>
      <w:lang w:val="en-GB" w:eastAsia="en-GB" w:bidi="en-GB"/>
    </w:rPr>
  </w:style>
  <w:style w:type="character" w:styleId="Title Char" w:customStyle="1">
    <w:name w:val="Title Char"/>
    <w:qFormat/>
    <w:rPr>
      <w:rFonts w:ascii="Calibri" w:hAnsi="Calibri" w:eastAsia="Calibri" w:cs="Calibri"/>
      <w:spacing w:val="-10"/>
      <w:sz w:val="56"/>
      <w:szCs w:val="56"/>
      <w:rtl w:val="off"/>
    </w:rPr>
  </w:style>
  <w:style w:type="paragraph" w:styleId="Subtitle">
    <w:name w:val="Subtitle"/>
    <w:basedOn w:val="Normal"/>
    <w:next w:val="Normal"/>
    <w:qFormat/>
    <w:pPr>
      <w:spacing w:after="160"/>
    </w:pPr>
    <w:rPr>
      <w:rFonts w:ascii="Cambria" w:hAnsi="Cambria" w:eastAsia="Cambria" w:cs="Cambria"/>
      <w:color w:val="595959"/>
      <w:spacing w:val="15"/>
      <w:sz w:val="28"/>
      <w:szCs w:val="28"/>
      <w:lang w:val="en-GB" w:eastAsia="en-GB" w:bidi="en-GB"/>
    </w:rPr>
  </w:style>
  <w:style w:type="character" w:styleId="Subtitle Char" w:customStyle="1">
    <w:name w:val="Subtitle Char"/>
    <w:qFormat/>
    <w:rPr>
      <w:rFonts w:ascii="Cambria" w:hAnsi="Cambria" w:eastAsia="Cambria" w:cs="Cambria"/>
      <w:color w:val="595959"/>
      <w:spacing w:val="15"/>
      <w:sz w:val="28"/>
      <w:szCs w:val="28"/>
      <w:rtl w:val="off"/>
    </w:rPr>
  </w:style>
  <w:style w:type="paragraph" w:styleId="Quote">
    <w:name w:val="Quote"/>
    <w:basedOn w:val="Normal"/>
    <w:next w:val="Normal"/>
    <w:qFormat/>
    <w:pPr>
      <w:spacing w:before="160" w:after="160"/>
      <w:jc w:val="center"/>
    </w:pPr>
    <w:rPr>
      <w:i/>
      <w:iCs/>
      <w:color w:val="404040"/>
      <w:lang w:val="en-GB" w:eastAsia="en-GB" w:bidi="en-GB"/>
    </w:rPr>
  </w:style>
  <w:style w:type="character" w:styleId="Quote Char" w:customStyle="1">
    <w:name w:val="Quote Char"/>
    <w:qFormat/>
    <w:rPr>
      <w:rFonts w:ascii="Arial" w:hAnsi="Arial" w:eastAsia="Arial" w:cs="Arial"/>
      <w:i/>
      <w:iCs/>
      <w:color w:val="404040"/>
      <w:sz w:val="22"/>
      <w:szCs w:val="22"/>
      <w:rtl w:val="off"/>
    </w:rPr>
  </w:style>
  <w:style w:type="character" w:styleId="IntenseEmphasis">
    <w:name w:val="Intense Emphasis"/>
    <w:qFormat/>
    <w:rPr>
      <w:i/>
      <w:iCs/>
      <w:color w:val="366091"/>
      <w:rtl w:val="off"/>
    </w:rPr>
  </w:style>
  <w:style w:type="paragraph" w:styleId="IntenseQuote">
    <w:name w:val="Intense Quote"/>
    <w:basedOn w:val="Normal"/>
    <w:next w:val="Normal"/>
    <w:qFormat/>
    <w:pPr>
      <w:pBdr>
        <w:top w:val="single" w:sz="4" w:space="10" w:color="365F91"/>
        <w:left w:val="none"/>
        <w:bottom w:val="single" w:sz="4" w:space="10" w:color="365F91"/>
        <w:right w:val="none"/>
        <w:between w:val="single" w:sz="4" w:space="10" w:color="365F91"/>
      </w:pBdr>
      <w:spacing w:before="360" w:after="360"/>
      <w:ind w:left="864" w:right="864"/>
      <w:jc w:val="center"/>
    </w:pPr>
    <w:rPr>
      <w:i/>
      <w:iCs/>
      <w:color w:val="366091"/>
      <w:lang w:val="en-GB" w:eastAsia="en-GB" w:bidi="en-GB"/>
    </w:rPr>
  </w:style>
  <w:style w:type="character" w:styleId="Intense Quote Char" w:customStyle="1">
    <w:name w:val="Intense Quote Char"/>
    <w:qFormat/>
    <w:rPr>
      <w:rFonts w:ascii="Arial" w:hAnsi="Arial" w:eastAsia="Arial" w:cs="Arial"/>
      <w:i/>
      <w:iCs/>
      <w:color w:val="366091"/>
      <w:sz w:val="22"/>
      <w:szCs w:val="22"/>
      <w:rtl w:val="off"/>
    </w:rPr>
  </w:style>
  <w:style w:type="character" w:styleId="IntenseReference">
    <w:name w:val="Intense Reference"/>
    <w:qFormat/>
    <w:rPr>
      <w:b/>
      <w:bCs/>
      <w:caps w:val="off"/>
      <w:smallCaps/>
      <w:color w:val="366091"/>
      <w:spacing w:val="5"/>
      <w:rtl w:val="off"/>
    </w:rPr>
  </w:style>
  <w:style w:type="paragraph" w:styleId="Bulleted Text" w:customStyle="1">
    <w:name w:val="Bulleted Text"/>
    <w:basedOn w:val="Normal"/>
    <w:next w:val="Bulleted Text"/>
    <w:qFormat/>
    <w:pPr>
      <w:tabs>
        <w:tab w:val="left" w:pos="170"/>
      </w:tabs>
      <w:spacing w:line="280" w:lineRule="atLeast"/>
      <w:ind w:left="170" w:hanging="170"/>
    </w:pPr>
    <w:rPr>
      <w:sz w:val="20"/>
      <w:szCs w:val="20"/>
      <w:lang w:val="en-GB" w:eastAsia="en-GB" w:bidi="en-GB"/>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Arial" w:hAnsi="Arial" w:eastAsia="Arial" w:cs="Arial"/>
      <w:rtl w:val="off"/>
      <w:lang w:val="en-GB" w:eastAsia="en-GB" w:bidi="en-GB"/>
    </w:rPr>
  </w:style>
  <w:style w:type="character" w:styleId="Comment Subject Char" w:customStyle="1">
    <w:name w:val="Comment Subject Char"/>
    <w:basedOn w:val="Comment Text Char"/>
    <w:qFormat/>
    <w:rPr>
      <w:rFonts w:ascii="Arial" w:hAnsi="Arial" w:eastAsia="Arial" w:cs="Arial"/>
      <w:b/>
      <w:bCs/>
      <w:lang w:val="en-GB" w:eastAsia="en-GB" w:bidi="en-GB"/>
    </w:rPr>
  </w:style>
  <w:style w:type="character" w:styleId="UnresolvedMention">
    <w:name w:val="Unresolved Mention"/>
    <w:qFormat/>
    <w:rPr>
      <w:color w:val="605E5C"/>
      <w:shd w:val="clear" w:color="auto" w:fill="E1DFDD"/>
      <w:rtl w:val="off"/>
    </w:rPr>
  </w:style>
  <w:style w:type="paragraph" w:styleId="LTA Chapter Heading" w:customStyle="1">
    <w:name w:val="LTA Chapter Heading"/>
    <w:basedOn w:val="[Normal]"/>
    <w:next w:val="LTA Chapter Head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560" w:line="204" w:lineRule="auto"/>
    </w:pPr>
    <w:rPr>
      <w:rFonts w:ascii="Impact" w:hAnsi="Impact" w:eastAsia="Impact" w:cs="Impact"/>
      <w:caps/>
      <w:color w:val="16316F"/>
      <w:sz w:val="36"/>
      <w:szCs w:val="36"/>
      <w:lang w:val="en-GB" w:eastAsia="en-GB" w:bidi="en-GB"/>
    </w:rPr>
  </w:style>
  <w:style w:type="paragraph" w:styleId="LTA Sub-heading 1" w:customStyle="1">
    <w:name w:val="LTA Sub-heading 1"/>
    <w:basedOn w:val="[Normal]"/>
    <w:next w:val="LTA Sub-heading 1"/>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line="204" w:lineRule="auto"/>
    </w:pPr>
    <w:rPr>
      <w:rFonts w:ascii="Impact" w:hAnsi="Impact" w:eastAsia="Impact" w:cs="Impact"/>
      <w:caps/>
      <w:color w:val="1A7BC0"/>
      <w:sz w:val="28"/>
      <w:szCs w:val="28"/>
      <w:lang w:val="en-GB" w:eastAsia="en-GB" w:bidi="en-GB"/>
    </w:rPr>
  </w:style>
  <w:style w:type="paragraph" w:styleId="LTA Sub-heading 2" w:customStyle="1">
    <w:name w:val="LTA Sub-heading 2"/>
    <w:basedOn w:val="[Normal]"/>
    <w:next w:val="LTA Sub-heading 2"/>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20"/>
    </w:pPr>
    <w:rPr>
      <w:rFonts w:ascii="Impact" w:hAnsi="Impact" w:eastAsia="Impact" w:cs="Impact"/>
      <w:color w:val="1A7BC0"/>
      <w:sz w:val="22"/>
      <w:szCs w:val="22"/>
      <w:lang w:val="en-GB" w:eastAsia="en-GB" w:bidi="en-GB"/>
    </w:rPr>
  </w:style>
  <w:style w:type="paragraph" w:styleId="LTA Sub-heading 3" w:customStyle="1">
    <w:name w:val="LTA Sub-heading 3"/>
    <w:basedOn w:val="LTA Sub-heading 2"/>
    <w:next w:val="LTA Sub-heading 3"/>
    <w:qFormat/>
    <w:pPr/>
    <w:rPr>
      <w:rFonts w:ascii="Arial" w:hAnsi="Arial" w:eastAsia="Arial" w:cs="Arial"/>
      <w:b/>
      <w:bCs/>
      <w:lang w:val="en-GB" w:eastAsia="en-GB" w:bidi="en-GB"/>
    </w:rPr>
  </w:style>
  <w:style w:type="character" w:styleId="CommentReference">
    <w:name w:val="annotation reference"/>
    <w:qFormat/>
    <w:rPr>
      <w:sz w:val="16"/>
      <w:szCs w:val="16"/>
      <w:rtl w:val="off"/>
    </w:rPr>
  </w:style>
  <w:style w:type="character" w:styleId="Hyperlink">
    <w:name w:val="Hyperlink"/>
    <w:qFormat/>
    <w:rPr>
      <w:color w:val="0000FF"/>
      <w:u w:val="single"/>
      <w:rtl w:val="off"/>
    </w:rPr>
  </w:style>
  <w:style w:type="character" w:styleId="Heading 2 Char" w:customStyle="1">
    <w:name w:val="Heading 2 Char"/>
    <w:qFormat/>
    <w:rPr>
      <w:rFonts w:ascii="Arial Bold" w:hAnsi="Arial Bold" w:eastAsia="Arial Bold" w:cs="Arial Bold"/>
      <w:b/>
      <w:bCs/>
      <w:i w:val="off"/>
      <w:iCs w:val="off"/>
      <w:color w:val="0086CB"/>
      <w:sz w:val="28"/>
      <w:szCs w:val="28"/>
      <w:rtl w:val="off"/>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2"/>
      <w:szCs w:val="22"/>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6" Type="http://schemas.openxmlformats.org/officeDocument/2006/relationships/image" Target="media/image0002.pn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footer0001.xml.rels><?xml version="1.0" encoding="UTF-8" standalone="yes"?><Relationships xmlns="http://schemas.openxmlformats.org/package/2006/relationships">
	<Relationship Id="rId00005"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LTA Word 7</dc:subject>
  <dc:creator>Theo Rushton-Neate</dc:creator>
  <dcterms:created xsi:type="dcterms:W3CDTF">2026-02-06T10:20:00Z</dcterms:created>
</cp:coreProperties>
</file>